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24"/>
          <w:szCs w:val="24"/>
          <w:lang w:val="en-US"/>
        </w:rPr>
      </w:pPr>
      <w:r>
        <w:rPr>
          <w:rFonts w:ascii="Times New Roman" w:hAnsi="Times New Roman" w:cs="Times New Roman"/>
          <w:b/>
          <w:sz w:val="24"/>
          <w:szCs w:val="24"/>
          <w:lang w:val="en-US"/>
        </w:rPr>
        <w:t>FMR Code: 12.11.3: Printing of recording and reporting forms</w:t>
      </w:r>
    </w:p>
    <w:p>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In order to monitor the situation of all facilities, re</w:t>
      </w:r>
      <w:r>
        <w:rPr>
          <w:rFonts w:hint="default" w:ascii="Times New Roman" w:hAnsi="Times New Roman" w:cs="Times New Roman"/>
          <w:sz w:val="24"/>
          <w:szCs w:val="24"/>
          <w:lang w:val="en-US"/>
        </w:rPr>
        <w:t>cording</w:t>
      </w:r>
      <w:bookmarkStart w:id="0" w:name="_GoBack"/>
      <w:bookmarkEnd w:id="0"/>
      <w:r>
        <w:rPr>
          <w:rFonts w:ascii="Times New Roman" w:hAnsi="Times New Roman" w:cs="Times New Roman"/>
          <w:sz w:val="24"/>
          <w:szCs w:val="24"/>
          <w:lang w:val="en-US"/>
        </w:rPr>
        <w:t xml:space="preserve"> and reporting is an important component, as such in order to provide sufficient quantity of the forms printing is hereby proposed.  List of the reporting formats, stock register etc with quantity required and budget is hereby proposed as mentioned below :</w:t>
      </w:r>
    </w:p>
    <w:tbl>
      <w:tblPr>
        <w:tblStyle w:val="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70"/>
        <w:gridCol w:w="4050"/>
        <w:gridCol w:w="1137"/>
        <w:gridCol w:w="14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tcPr>
          <w:p>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Sl.No</w:t>
            </w:r>
          </w:p>
        </w:tc>
        <w:tc>
          <w:tcPr>
            <w:tcW w:w="4050" w:type="dxa"/>
          </w:tcPr>
          <w:p>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Name of reporting format</w:t>
            </w:r>
          </w:p>
        </w:tc>
        <w:tc>
          <w:tcPr>
            <w:tcW w:w="1137" w:type="dxa"/>
          </w:tcPr>
          <w:p>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Quantity</w:t>
            </w:r>
          </w:p>
        </w:tc>
        <w:tc>
          <w:tcPr>
            <w:tcW w:w="1476" w:type="dxa"/>
          </w:tcPr>
          <w:p>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Amount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 ASHA</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M1</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1020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1,02,000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M2</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3200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3,20,000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M3</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500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50,000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M4-F-A</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M4-F-B</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M4-F-C</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M4-F-D</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M4-F-Common</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AM Drugs Stock Register</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500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1,50,000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Sub Centre Logistic Report Form</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1020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1,02,000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Main Centre/PHC Logistic Report</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Malaria Performance Chart (SC/PHC)</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600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6,00,000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Malaria Treatment Chart (SC/PHC)</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2,00,000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Malaria Treatment Chart (ASHA)</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500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75,000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Case Investigation Form</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70,000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70" w:type="dxa"/>
            <w:vAlign w:val="center"/>
          </w:tcPr>
          <w:p>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4050" w:type="dxa"/>
            <w:vAlign w:val="center"/>
          </w:tcPr>
          <w:p>
            <w:pPr>
              <w:spacing w:after="0" w:line="240" w:lineRule="auto"/>
              <w:rPr>
                <w:rFonts w:ascii="Times New Roman" w:hAnsi="Times New Roman" w:cs="Times New Roman"/>
                <w:lang w:val="en-US"/>
              </w:rPr>
            </w:pPr>
            <w:r>
              <w:rPr>
                <w:rFonts w:ascii="Times New Roman" w:hAnsi="Times New Roman" w:cs="Times New Roman"/>
                <w:lang w:val="en-US"/>
              </w:rPr>
              <w:t>Daily Treatment Investigation Form</w:t>
            </w:r>
          </w:p>
        </w:tc>
        <w:tc>
          <w:tcPr>
            <w:tcW w:w="1137"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1000</w:t>
            </w:r>
          </w:p>
        </w:tc>
        <w:tc>
          <w:tcPr>
            <w:tcW w:w="1476" w:type="dxa"/>
            <w:vAlign w:val="center"/>
          </w:tcPr>
          <w:p>
            <w:pPr>
              <w:spacing w:after="0" w:line="240" w:lineRule="auto"/>
              <w:jc w:val="center"/>
              <w:rPr>
                <w:rFonts w:ascii="Times New Roman" w:hAnsi="Times New Roman" w:cs="Times New Roman"/>
                <w:lang w:val="en-US"/>
              </w:rPr>
            </w:pPr>
            <w:r>
              <w:rPr>
                <w:rFonts w:ascii="Times New Roman" w:hAnsi="Times New Roman" w:cs="Times New Roman"/>
                <w:lang w:val="en-US"/>
              </w:rPr>
              <w:t>70,000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957" w:type="dxa"/>
            <w:gridSpan w:val="3"/>
          </w:tcPr>
          <w:p>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lang w:val="en-US"/>
              </w:rPr>
              <w:t>TOTAL</w:t>
            </w:r>
          </w:p>
        </w:tc>
        <w:tc>
          <w:tcPr>
            <w:tcW w:w="1476" w:type="dxa"/>
          </w:tcPr>
          <w:p>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23,79,000.00</w:t>
            </w:r>
          </w:p>
        </w:tc>
      </w:tr>
    </w:tbl>
    <w:p>
      <w:pPr>
        <w:rPr>
          <w:rFonts w:ascii="Times New Roman" w:hAnsi="Times New Roman" w:cs="Times New Roman"/>
          <w:sz w:val="24"/>
          <w:szCs w:val="24"/>
          <w:lang w:val="en-US"/>
        </w:rPr>
      </w:pPr>
    </w:p>
    <w:p>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Total budget for printing of recording and reporting formats is Rs.23.79/- lakhs</w:t>
      </w:r>
    </w:p>
    <w:p>
      <w:pPr>
        <w:rPr>
          <w:rFonts w:ascii="Times New Roman" w:hAnsi="Times New Roman" w:cs="Times New Roman"/>
          <w:sz w:val="24"/>
          <w:szCs w:val="24"/>
          <w:lang w:val="en-US"/>
        </w:rPr>
      </w:pPr>
    </w:p>
    <w:sectPr>
      <w:pgSz w:w="11906" w:h="16838"/>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characterSpacingControl w:val="doNotCompress"/>
  <w:compat>
    <w:compatSetting w:name="compatibilityMode" w:uri="http://schemas.microsoft.com/office/word" w:val="12"/>
  </w:compat>
  <w:rsids>
    <w:rsidRoot w:val="00E83E1A"/>
    <w:rsid w:val="000B04F1"/>
    <w:rsid w:val="000B5036"/>
    <w:rsid w:val="00117D9D"/>
    <w:rsid w:val="001E47CC"/>
    <w:rsid w:val="00277BB0"/>
    <w:rsid w:val="00281989"/>
    <w:rsid w:val="002D22F0"/>
    <w:rsid w:val="00463EBF"/>
    <w:rsid w:val="00507E67"/>
    <w:rsid w:val="006A4B6A"/>
    <w:rsid w:val="006C7D47"/>
    <w:rsid w:val="00766C54"/>
    <w:rsid w:val="007A5FC2"/>
    <w:rsid w:val="00820425"/>
    <w:rsid w:val="009F66F4"/>
    <w:rsid w:val="00A95967"/>
    <w:rsid w:val="00BD144A"/>
    <w:rsid w:val="00CB7735"/>
    <w:rsid w:val="00DB2DC6"/>
    <w:rsid w:val="00DC276A"/>
    <w:rsid w:val="00DD5BC7"/>
    <w:rsid w:val="00E6564C"/>
    <w:rsid w:val="00E81516"/>
    <w:rsid w:val="00E83E1A"/>
    <w:rsid w:val="00F3244B"/>
    <w:rsid w:val="57344CB3"/>
    <w:rsid w:val="677B687A"/>
  </w:rsids>
  <m:mathPr>
    <m:mathFont m:val="Cambria Math"/>
    <m:brkBin m:val="before"/>
    <m:brkBinSub m:val="--"/>
    <m:smallFrac m:val="1"/>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165</Words>
  <Characters>947</Characters>
  <Lines>7</Lines>
  <Paragraphs>2</Paragraphs>
  <TotalTime>70</TotalTime>
  <ScaleCrop>false</ScaleCrop>
  <LinksUpToDate>false</LinksUpToDate>
  <CharactersWithSpaces>1110</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2019-12-27T08:56:00Z</dcterms:created>
  <dc:creator>User</dc:creator>
  <cp:lastModifiedBy>B Lalcrossengmawia</cp:lastModifiedBy>
  <dcterms:modified xsi:type="dcterms:W3CDTF">2020-11-20T07:47:48Z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